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46419" w:rsidRDefault="005B48B0">
      <w:pPr>
        <w:spacing w:after="0"/>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0" w:name="_heading=h.gjdgxs" w:colFirst="0" w:colLast="0"/>
      <w:bookmarkEnd w:id="0"/>
      <w:r>
        <w:rPr>
          <w:rFonts w:ascii="Arial" w:eastAsia="Arial" w:hAnsi="Arial" w:cs="Arial"/>
          <w:b/>
          <w:sz w:val="24"/>
          <w:szCs w:val="24"/>
        </w:rPr>
        <w:t>Not Used</w:t>
      </w:r>
    </w:p>
    <w:p w14:paraId="00000003"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 xml:space="preserve">How Framework Prices are </w:t>
      </w:r>
      <w:r>
        <w:rPr>
          <w:rFonts w:ascii="Arial" w:eastAsia="Arial" w:hAnsi="Arial" w:cs="Arial"/>
          <w:b/>
          <w:sz w:val="24"/>
          <w:szCs w:val="24"/>
        </w:rPr>
        <w:t>u</w:t>
      </w:r>
      <w:r>
        <w:rPr>
          <w:rFonts w:ascii="Arial" w:eastAsia="Arial" w:hAnsi="Arial" w:cs="Arial"/>
          <w:b/>
          <w:color w:val="000000"/>
          <w:sz w:val="24"/>
          <w:szCs w:val="24"/>
        </w:rPr>
        <w:t xml:space="preserve">sed to </w:t>
      </w:r>
      <w:r>
        <w:rPr>
          <w:rFonts w:ascii="Arial" w:eastAsia="Arial" w:hAnsi="Arial" w:cs="Arial"/>
          <w:b/>
          <w:sz w:val="24"/>
          <w:szCs w:val="24"/>
        </w:rPr>
        <w:t>c</w:t>
      </w:r>
      <w:r>
        <w:rPr>
          <w:rFonts w:ascii="Arial" w:eastAsia="Arial" w:hAnsi="Arial" w:cs="Arial"/>
          <w:b/>
          <w:color w:val="000000"/>
          <w:sz w:val="24"/>
          <w:szCs w:val="24"/>
        </w:rPr>
        <w:t>alculate Call-Off Charges</w:t>
      </w:r>
    </w:p>
    <w:p w14:paraId="00000004"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5" w14:textId="77777777" w:rsidR="00D46419" w:rsidRDefault="005B48B0">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bookmarkStart w:id="1" w:name="_heading=h.3znysh7" w:colFirst="0" w:colLast="0"/>
      <w:bookmarkEnd w:id="1"/>
      <w:r>
        <w:rPr>
          <w:rFonts w:ascii="Arial" w:eastAsia="Arial" w:hAnsi="Arial" w:cs="Arial"/>
          <w:color w:val="000000"/>
          <w:sz w:val="24"/>
          <w:szCs w:val="24"/>
        </w:rPr>
        <w:t>will be used as the basis for the charges (and are maximums that the Supplier may charge for a Standard Service Requirement) under each Call Off Contract including;</w:t>
      </w:r>
    </w:p>
    <w:p w14:paraId="00000006"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Standard Service </w:t>
      </w:r>
      <w:r>
        <w:rPr>
          <w:rFonts w:ascii="Arial" w:eastAsia="Arial" w:hAnsi="Arial" w:cs="Arial"/>
          <w:sz w:val="24"/>
          <w:szCs w:val="24"/>
        </w:rPr>
        <w:t>rate per Unit of Measure</w:t>
      </w:r>
    </w:p>
    <w:p w14:paraId="00000007"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Corporate Overhead;</w:t>
      </w:r>
    </w:p>
    <w:p w14:paraId="00000008"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Management Overhead;</w:t>
      </w:r>
    </w:p>
    <w:p w14:paraId="00000009"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 Profit;</w:t>
      </w:r>
    </w:p>
    <w:p w14:paraId="0000000A"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London location percentage variance; </w:t>
      </w:r>
    </w:p>
    <w:p w14:paraId="0000000B"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Cleaning consumables per </w:t>
      </w:r>
      <w:r>
        <w:rPr>
          <w:rFonts w:ascii="Arial" w:eastAsia="Arial" w:hAnsi="Arial" w:cs="Arial"/>
          <w:sz w:val="24"/>
          <w:szCs w:val="24"/>
        </w:rPr>
        <w:t>Building Occupants</w:t>
      </w:r>
      <w:r>
        <w:rPr>
          <w:rFonts w:ascii="Arial" w:eastAsia="Arial" w:hAnsi="Arial" w:cs="Arial"/>
          <w:color w:val="000000"/>
          <w:sz w:val="24"/>
          <w:szCs w:val="24"/>
        </w:rPr>
        <w:t xml:space="preserve">; </w:t>
      </w:r>
    </w:p>
    <w:p w14:paraId="0000000C"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Billable works management uplifts; and </w:t>
      </w:r>
    </w:p>
    <w:p w14:paraId="0000000D" w14:textId="77777777" w:rsidR="00D46419" w:rsidRDefault="005B48B0">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Project uplifts; </w:t>
      </w:r>
    </w:p>
    <w:p w14:paraId="0000000E" w14:textId="77777777" w:rsidR="00D46419" w:rsidRDefault="005B48B0">
      <w:pPr>
        <w:pBdr>
          <w:top w:val="nil"/>
          <w:left w:val="nil"/>
          <w:bottom w:val="nil"/>
          <w:right w:val="nil"/>
          <w:between w:val="nil"/>
        </w:pBdr>
        <w:tabs>
          <w:tab w:val="left" w:pos="1985"/>
          <w:tab w:val="left" w:pos="2127"/>
          <w:tab w:val="left" w:pos="1440"/>
        </w:tabs>
        <w:spacing w:before="120" w:after="120" w:line="240" w:lineRule="auto"/>
        <w:ind w:left="1980"/>
        <w:rPr>
          <w:rFonts w:ascii="Arial" w:eastAsia="Arial" w:hAnsi="Arial" w:cs="Arial"/>
          <w:color w:val="000000"/>
          <w:sz w:val="24"/>
          <w:szCs w:val="24"/>
        </w:rPr>
      </w:pPr>
      <w:r>
        <w:rPr>
          <w:rFonts w:ascii="Arial" w:eastAsia="Arial" w:hAnsi="Arial" w:cs="Arial"/>
          <w:color w:val="000000"/>
          <w:sz w:val="24"/>
          <w:szCs w:val="24"/>
        </w:rPr>
        <w:t xml:space="preserve"> and</w:t>
      </w:r>
    </w:p>
    <w:p w14:paraId="0000000F"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10"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Framework Prices are permitted to exceed Standard Service </w:t>
      </w:r>
      <w:r>
        <w:rPr>
          <w:rFonts w:ascii="Arial" w:eastAsia="Arial" w:hAnsi="Arial" w:cs="Arial"/>
          <w:sz w:val="24"/>
          <w:szCs w:val="24"/>
        </w:rPr>
        <w:t>p</w:t>
      </w:r>
      <w:r>
        <w:rPr>
          <w:rFonts w:ascii="Arial" w:eastAsia="Arial" w:hAnsi="Arial" w:cs="Arial"/>
          <w:color w:val="000000"/>
          <w:sz w:val="24"/>
          <w:szCs w:val="24"/>
        </w:rPr>
        <w:t xml:space="preserve">ricing for non-standard requirements and/or at the discretion of the Buyer, however the pricing variables detailed in </w:t>
      </w:r>
      <w:r>
        <w:rPr>
          <w:rFonts w:ascii="Arial" w:eastAsia="Arial" w:hAnsi="Arial" w:cs="Arial"/>
          <w:sz w:val="24"/>
          <w:szCs w:val="24"/>
        </w:rPr>
        <w:t>2</w:t>
      </w:r>
      <w:r>
        <w:rPr>
          <w:rFonts w:ascii="Arial" w:eastAsia="Arial" w:hAnsi="Arial" w:cs="Arial"/>
          <w:color w:val="000000"/>
          <w:sz w:val="24"/>
          <w:szCs w:val="24"/>
        </w:rPr>
        <w:t>.1.1 (b) to (</w:t>
      </w:r>
      <w:r>
        <w:rPr>
          <w:rFonts w:ascii="Arial" w:eastAsia="Arial" w:hAnsi="Arial" w:cs="Arial"/>
          <w:sz w:val="24"/>
          <w:szCs w:val="24"/>
        </w:rPr>
        <w:t>h</w:t>
      </w:r>
      <w:r>
        <w:rPr>
          <w:rFonts w:ascii="Arial" w:eastAsia="Arial" w:hAnsi="Arial" w:cs="Arial"/>
          <w:color w:val="000000"/>
          <w:sz w:val="24"/>
          <w:szCs w:val="24"/>
        </w:rPr>
        <w:t>) will remain as maximum percentages</w:t>
      </w:r>
    </w:p>
    <w:p w14:paraId="00000011"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12"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13"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cannot be increased except as specifically permitted by the Call Off Contract and in particular shall only be subje</w:t>
      </w:r>
      <w:r>
        <w:rPr>
          <w:rFonts w:ascii="Arial" w:eastAsia="Arial" w:hAnsi="Arial" w:cs="Arial"/>
          <w:color w:val="000000"/>
          <w:sz w:val="24"/>
          <w:szCs w:val="24"/>
        </w:rPr>
        <w:t>ct to Indexation where specifically stated in the Order Form; and</w:t>
      </w:r>
    </w:p>
    <w:p w14:paraId="00000014"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15"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513i4rc6r71m" w:colFirst="0" w:colLast="0"/>
      <w:bookmarkEnd w:id="2"/>
      <w:r>
        <w:rPr>
          <w:rFonts w:ascii="Arial" w:eastAsia="Arial" w:hAnsi="Arial" w:cs="Arial"/>
          <w:color w:val="000000"/>
          <w:sz w:val="24"/>
          <w:szCs w:val="24"/>
        </w:rPr>
        <w:t xml:space="preserve">Any variation to the Charges payable under a Call Off Contract must be agreed between the Supplier and the Buyer and implemented </w:t>
      </w:r>
      <w:r>
        <w:rPr>
          <w:rFonts w:ascii="Arial" w:eastAsia="Arial" w:hAnsi="Arial" w:cs="Arial"/>
          <w:color w:val="000000"/>
          <w:sz w:val="24"/>
          <w:szCs w:val="24"/>
        </w:rPr>
        <w:t>using the same procedure for altering Framework Prices in accordance with the provisions of this Framework Schedule 3</w:t>
      </w:r>
    </w:p>
    <w:p w14:paraId="00000016"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How Framework Prices are calculated</w:t>
      </w:r>
    </w:p>
    <w:p w14:paraId="00000017"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The pricing mechanisms and prices set out in Annex 1 shall be available for use in calculation of Framework Prices in Call Off Contracts.</w:t>
      </w:r>
    </w:p>
    <w:p w14:paraId="00000018"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4" w:name="_heading=h.1fob9te" w:colFirst="0" w:colLast="0"/>
      <w:bookmarkEnd w:id="4"/>
      <w:r>
        <w:rPr>
          <w:rFonts w:ascii="Arial" w:eastAsia="Arial" w:hAnsi="Arial" w:cs="Arial"/>
          <w:b/>
          <w:sz w:val="24"/>
          <w:szCs w:val="24"/>
        </w:rPr>
        <w:t>Not Used</w:t>
      </w:r>
    </w:p>
    <w:p w14:paraId="00000019"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When the Supplier can ask to change the Framework Prices</w:t>
      </w:r>
    </w:p>
    <w:p w14:paraId="0000001A"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poihfrdhdh2h" w:colFirst="0" w:colLast="0"/>
      <w:bookmarkEnd w:id="5"/>
      <w:r>
        <w:rPr>
          <w:rFonts w:ascii="Arial" w:eastAsia="Arial" w:hAnsi="Arial" w:cs="Arial"/>
          <w:color w:val="000000"/>
          <w:sz w:val="24"/>
          <w:szCs w:val="24"/>
        </w:rPr>
        <w:t>The Framework Prices will be fixed for th</w:t>
      </w:r>
      <w:r>
        <w:rPr>
          <w:rFonts w:ascii="Arial" w:eastAsia="Arial" w:hAnsi="Arial" w:cs="Arial"/>
          <w:sz w:val="24"/>
          <w:szCs w:val="24"/>
        </w:rPr>
        <w:t xml:space="preserve">e first </w:t>
      </w:r>
      <w:r>
        <w:rPr>
          <w:rFonts w:ascii="Arial" w:eastAsia="Arial" w:hAnsi="Arial" w:cs="Arial"/>
          <w:b/>
          <w:sz w:val="24"/>
          <w:szCs w:val="24"/>
        </w:rPr>
        <w:t>2</w:t>
      </w:r>
      <w:r>
        <w:rPr>
          <w:rFonts w:ascii="Arial" w:eastAsia="Arial" w:hAnsi="Arial" w:cs="Arial"/>
          <w:sz w:val="24"/>
          <w:szCs w:val="24"/>
        </w:rPr>
        <w:t xml:space="preserve"> y</w:t>
      </w:r>
      <w:r>
        <w:rPr>
          <w:rFonts w:ascii="Arial" w:eastAsia="Arial" w:hAnsi="Arial" w:cs="Arial"/>
          <w:sz w:val="24"/>
          <w:szCs w:val="24"/>
        </w:rPr>
        <w:t>ears follo</w:t>
      </w:r>
      <w:r>
        <w:rPr>
          <w:rFonts w:ascii="Arial" w:eastAsia="Arial" w:hAnsi="Arial" w:cs="Arial"/>
          <w:color w:val="000000"/>
          <w:sz w:val="24"/>
          <w:szCs w:val="24"/>
        </w:rPr>
        <w:t>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B" w14:textId="77777777" w:rsidR="00D46419" w:rsidRDefault="005B48B0">
      <w:pPr>
        <w:numPr>
          <w:ilvl w:val="1"/>
          <w:numId w:val="1"/>
        </w:numPr>
        <w:tabs>
          <w:tab w:val="left" w:pos="709"/>
        </w:tabs>
        <w:spacing w:before="120" w:after="120" w:line="240" w:lineRule="auto"/>
        <w:ind w:left="1134" w:hanging="425"/>
      </w:pPr>
      <w:bookmarkStart w:id="6" w:name="_heading=h.cgmztcr9hhbt" w:colFirst="0" w:colLast="0"/>
      <w:bookmarkEnd w:id="6"/>
      <w:r>
        <w:rPr>
          <w:rFonts w:ascii="Arial" w:eastAsia="Arial" w:hAnsi="Arial" w:cs="Arial"/>
          <w:sz w:val="24"/>
          <w:szCs w:val="24"/>
        </w:rPr>
        <w:t>T</w:t>
      </w:r>
      <w:r>
        <w:rPr>
          <w:rFonts w:ascii="Arial" w:eastAsia="Arial" w:hAnsi="Arial" w:cs="Arial"/>
          <w:color w:val="000000"/>
          <w:sz w:val="24"/>
          <w:szCs w:val="24"/>
        </w:rPr>
        <w:t>he Framework Prices (</w:t>
      </w:r>
      <w:r>
        <w:rPr>
          <w:rFonts w:ascii="Arial" w:eastAsia="Arial" w:hAnsi="Arial" w:cs="Arial"/>
          <w:color w:val="000000"/>
          <w:sz w:val="24"/>
          <w:szCs w:val="24"/>
        </w:rPr>
        <w:t>excluding Corporate Overhead, Profit and Billable Works and Projects percentages) are subject to Indexation and shall be adjusted in line with changes in the Consumer Price Index ("CPI").  All other costs, expenses, fees and charges shall not be adjusted t</w:t>
      </w:r>
      <w:r>
        <w:rPr>
          <w:rFonts w:ascii="Arial" w:eastAsia="Arial" w:hAnsi="Arial" w:cs="Arial"/>
          <w:color w:val="000000"/>
          <w:sz w:val="24"/>
          <w:szCs w:val="24"/>
        </w:rPr>
        <w:t>o take account of any inflation, change to exchange rate, change to interest rate or any other factor or element which might otherwise increase the cost to the Supplier.</w:t>
      </w:r>
    </w:p>
    <w:p w14:paraId="0000001C" w14:textId="77777777" w:rsidR="00D46419" w:rsidRDefault="005B48B0">
      <w:pPr>
        <w:numPr>
          <w:ilvl w:val="1"/>
          <w:numId w:val="1"/>
        </w:numPr>
        <w:tabs>
          <w:tab w:val="left" w:pos="709"/>
        </w:tabs>
        <w:spacing w:before="120" w:after="120" w:line="240" w:lineRule="auto"/>
        <w:ind w:left="1134" w:hanging="425"/>
        <w:rPr>
          <w:rFonts w:ascii="Arial" w:eastAsia="Arial" w:hAnsi="Arial" w:cs="Arial"/>
          <w:color w:val="000000"/>
        </w:rPr>
      </w:pPr>
      <w:bookmarkStart w:id="7" w:name="_heading=h.b3dtzefet0kb" w:colFirst="0" w:colLast="0"/>
      <w:bookmarkEnd w:id="7"/>
      <w:r>
        <w:rPr>
          <w:rFonts w:ascii="Arial" w:eastAsia="Arial" w:hAnsi="Arial" w:cs="Arial"/>
          <w:color w:val="000000"/>
          <w:sz w:val="24"/>
          <w:szCs w:val="24"/>
        </w:rPr>
        <w:t>Where the Framework Prices are subject to Indexation then it will be indexed on the da</w:t>
      </w:r>
      <w:r>
        <w:rPr>
          <w:rFonts w:ascii="Arial" w:eastAsia="Arial" w:hAnsi="Arial" w:cs="Arial"/>
          <w:color w:val="000000"/>
          <w:sz w:val="24"/>
          <w:szCs w:val="24"/>
        </w:rPr>
        <w:t>te which is two (2) years after the Framework Contract Start Date to reflect the percentage change in the CPI since the date which is one (1) year after the Framework Contract Start Date.  They shall be indexed on each following yearly anniversary to refle</w:t>
      </w:r>
      <w:r>
        <w:rPr>
          <w:rFonts w:ascii="Arial" w:eastAsia="Arial" w:hAnsi="Arial" w:cs="Arial"/>
          <w:color w:val="000000"/>
          <w:sz w:val="24"/>
          <w:szCs w:val="24"/>
        </w:rPr>
        <w:t>ct the percentage change in the CPI since the previous change.</w:t>
      </w:r>
    </w:p>
    <w:p w14:paraId="0000001D"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w:t>
      </w:r>
      <w:r>
        <w:rPr>
          <w:rFonts w:ascii="Arial" w:eastAsia="Arial" w:hAnsi="Arial" w:cs="Arial"/>
          <w:color w:val="000000"/>
          <w:sz w:val="24"/>
          <w:szCs w:val="24"/>
        </w:rPr>
        <w:t xml:space="preserve"> only be able to request an increase prior to the next Review Date.</w:t>
      </w:r>
    </w:p>
    <w:p w14:paraId="0000001E"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Any notice requesting an increase, not covered by </w:t>
      </w:r>
      <w:proofErr w:type="gramStart"/>
      <w:r>
        <w:rPr>
          <w:rFonts w:ascii="Arial" w:eastAsia="Arial" w:hAnsi="Arial" w:cs="Arial"/>
          <w:color w:val="000000"/>
          <w:sz w:val="24"/>
          <w:szCs w:val="24"/>
        </w:rPr>
        <w:t xml:space="preserve">Indexation, </w:t>
      </w:r>
      <w:r>
        <w:t xml:space="preserve">  </w:t>
      </w:r>
      <w:proofErr w:type="gramEnd"/>
      <w:r>
        <w:t xml:space="preserve">   </w:t>
      </w:r>
      <w:r>
        <w:rPr>
          <w:rFonts w:ascii="Arial" w:eastAsia="Arial" w:hAnsi="Arial" w:cs="Arial"/>
          <w:color w:val="000000"/>
          <w:sz w:val="24"/>
          <w:szCs w:val="24"/>
        </w:rPr>
        <w:t>shall include:</w:t>
      </w:r>
    </w:p>
    <w:p w14:paraId="0000001F"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a list of the Framework Prices to be reviewed;</w:t>
      </w:r>
    </w:p>
    <w:p w14:paraId="00000020"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21" w14:textId="77777777" w:rsidR="00D46419" w:rsidRDefault="005B48B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cost components that comprise the relevant Framework Price; </w:t>
      </w:r>
    </w:p>
    <w:p w14:paraId="00000022" w14:textId="77777777" w:rsidR="00D46419" w:rsidRDefault="005B48B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details of the movement in the different identified cost comp</w:t>
      </w:r>
      <w:r>
        <w:rPr>
          <w:rFonts w:ascii="Arial" w:eastAsia="Arial" w:hAnsi="Arial" w:cs="Arial"/>
          <w:sz w:val="24"/>
          <w:szCs w:val="24"/>
          <w:highlight w:val="white"/>
        </w:rPr>
        <w:t>onents of the relevant Framework Price;</w:t>
      </w:r>
    </w:p>
    <w:p w14:paraId="00000023" w14:textId="77777777" w:rsidR="00D46419" w:rsidRDefault="005B48B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reasons for the movement in the different identified cost components of the relevant Framework Price;</w:t>
      </w:r>
    </w:p>
    <w:p w14:paraId="00000024" w14:textId="77777777" w:rsidR="00D46419" w:rsidRDefault="005B48B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evidence that the Supplier has attempted to mitigate against the increase in the relevant cost components; and</w:t>
      </w:r>
    </w:p>
    <w:p w14:paraId="00000025" w14:textId="77777777" w:rsidR="00D46419" w:rsidRDefault="005B48B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sz w:val="24"/>
          <w:szCs w:val="24"/>
        </w:rPr>
      </w:pPr>
      <w:r>
        <w:rPr>
          <w:rFonts w:ascii="Arial" w:eastAsia="Arial" w:hAnsi="Arial" w:cs="Arial"/>
          <w:sz w:val="24"/>
          <w:szCs w:val="24"/>
          <w:highlight w:val="white"/>
        </w:rPr>
        <w:t>evidence that the Supplier’s profit component of the relevant Framework Price is no greater than that applying to Framework Prices using the same pricing mechanism as at the Contract Commencement Date.</w:t>
      </w:r>
    </w:p>
    <w:p w14:paraId="00000026"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CCS shall consider each request for a price increase, not covered automatically by indexation. </w:t>
      </w:r>
      <w:r>
        <w:t xml:space="preserve">     </w:t>
      </w:r>
      <w:r>
        <w:rPr>
          <w:rFonts w:ascii="Arial" w:eastAsia="Arial" w:hAnsi="Arial" w:cs="Arial"/>
          <w:sz w:val="24"/>
          <w:szCs w:val="24"/>
        </w:rPr>
        <w:t xml:space="preserve">  CCS may grant Approval to an increase at its sole discretion.</w:t>
      </w:r>
    </w:p>
    <w:p w14:paraId="00000027"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The price increase request shall be determined by applying the following formula: </w:t>
      </w:r>
    </w:p>
    <w:p w14:paraId="00000028" w14:textId="77777777" w:rsidR="00D46419" w:rsidRDefault="005B48B0">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 xml:space="preserve">  NC = EC * Z where: </w:t>
      </w:r>
    </w:p>
    <w:p w14:paraId="00000029" w14:textId="77777777" w:rsidR="00D46419" w:rsidRDefault="005B48B0">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NC</w:t>
      </w:r>
      <w:r>
        <w:rPr>
          <w:rFonts w:ascii="Arial" w:eastAsia="Arial" w:hAnsi="Arial" w:cs="Arial"/>
          <w:sz w:val="24"/>
          <w:szCs w:val="24"/>
        </w:rPr>
        <w:tab/>
        <w:t xml:space="preserve"> is the New Charge; </w:t>
      </w:r>
    </w:p>
    <w:p w14:paraId="0000002A" w14:textId="77777777" w:rsidR="00D46419" w:rsidRDefault="005B48B0">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EC</w:t>
      </w:r>
      <w:r>
        <w:rPr>
          <w:rFonts w:ascii="Arial" w:eastAsia="Arial" w:hAnsi="Arial" w:cs="Arial"/>
          <w:sz w:val="24"/>
          <w:szCs w:val="24"/>
        </w:rPr>
        <w:tab/>
        <w:t xml:space="preserve"> is the Existing Charge; and </w:t>
      </w:r>
    </w:p>
    <w:p w14:paraId="0000002B" w14:textId="77777777" w:rsidR="00D46419" w:rsidRDefault="005B48B0">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Z</w:t>
      </w:r>
      <w:r>
        <w:rPr>
          <w:rFonts w:ascii="Arial" w:eastAsia="Arial" w:hAnsi="Arial" w:cs="Arial"/>
          <w:sz w:val="24"/>
          <w:szCs w:val="24"/>
        </w:rPr>
        <w:tab/>
        <w:t xml:space="preserve"> is 1 + (“</w:t>
      </w:r>
      <w:r>
        <w:rPr>
          <w:rFonts w:ascii="Arial" w:eastAsia="Arial" w:hAnsi="Arial" w:cs="Arial"/>
          <w:b/>
          <w:sz w:val="24"/>
          <w:szCs w:val="24"/>
        </w:rPr>
        <w:t>Average Annual % Change in CPI</w:t>
      </w:r>
      <w:r>
        <w:rPr>
          <w:rFonts w:ascii="Arial" w:eastAsia="Arial" w:hAnsi="Arial" w:cs="Arial"/>
        </w:rPr>
        <w:t xml:space="preserve"> </w:t>
      </w:r>
      <w:r>
        <w:t xml:space="preserve">   </w:t>
      </w:r>
      <w:proofErr w:type="gramStart"/>
      <w:r>
        <w:t xml:space="preserve">  </w:t>
      </w:r>
      <w:r>
        <w:rPr>
          <w:rFonts w:ascii="Arial" w:eastAsia="Arial" w:hAnsi="Arial" w:cs="Arial"/>
          <w:b/>
          <w:sz w:val="24"/>
          <w:szCs w:val="24"/>
        </w:rPr>
        <w:t>”</w:t>
      </w:r>
      <w:proofErr w:type="gramEnd"/>
      <w:r>
        <w:rPr>
          <w:rFonts w:ascii="Arial" w:eastAsia="Arial" w:hAnsi="Arial" w:cs="Arial"/>
          <w:sz w:val="24"/>
          <w:szCs w:val="24"/>
        </w:rPr>
        <w:t>) / 100</w:t>
      </w:r>
    </w:p>
    <w:p w14:paraId="0000002C"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bookmarkStart w:id="8" w:name="_heading=h.2et92p0" w:colFirst="0" w:colLast="0"/>
      <w:bookmarkEnd w:id="8"/>
      <w:r>
        <w:rPr>
          <w:rFonts w:ascii="Arial" w:eastAsia="Arial" w:hAnsi="Arial" w:cs="Arial"/>
          <w:sz w:val="24"/>
          <w:szCs w:val="24"/>
        </w:rPr>
        <w:t>If the CPI has not been published for the relevant month as required for this calculation then the last publish</w:t>
      </w:r>
      <w:r>
        <w:rPr>
          <w:rFonts w:ascii="Arial" w:eastAsia="Arial" w:hAnsi="Arial" w:cs="Arial"/>
          <w:sz w:val="24"/>
          <w:szCs w:val="24"/>
        </w:rPr>
        <w:t>ed value of the index available at the Adjustment Date shall be used.</w:t>
      </w:r>
    </w:p>
    <w:p w14:paraId="0000002D"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In the event that any changes occur to the basis of the CPI, or it is no longer published, CCS and the Supplier shall agree a fair and reasonable adjustment to that index or, if appropri</w:t>
      </w:r>
      <w:r>
        <w:rPr>
          <w:rFonts w:ascii="Arial" w:eastAsia="Arial" w:hAnsi="Arial" w:cs="Arial"/>
          <w:sz w:val="24"/>
          <w:szCs w:val="24"/>
        </w:rPr>
        <w:t>ate, shall agree a revised formula that in either event will have substantially the same effect as that specified in this Framework Schedule 3 - Framework Prices.</w:t>
      </w:r>
    </w:p>
    <w:p w14:paraId="0000002E"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Where CCS approves an increase then it will be implemented from the first (1st) Working Day f</w:t>
      </w:r>
      <w:r>
        <w:rPr>
          <w:rFonts w:ascii="Arial" w:eastAsia="Arial" w:hAnsi="Arial" w:cs="Arial"/>
          <w:sz w:val="24"/>
          <w:szCs w:val="24"/>
        </w:rPr>
        <w:t>ollowing the relevant Review Date or such later date as CCS may determine at its sole discretion and Annex 1 shall be updated accordingly.</w:t>
      </w:r>
    </w:p>
    <w:p w14:paraId="0000002F"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lastRenderedPageBreak/>
        <w:t>Other events that allow the Supplier to change the Framework Prices</w:t>
      </w:r>
    </w:p>
    <w:p w14:paraId="00000030"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31"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Core Terms Clause 24;</w:t>
      </w:r>
    </w:p>
    <w:p w14:paraId="00000032"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Core Terms Clause 13; </w:t>
      </w:r>
    </w:p>
    <w:p w14:paraId="00000033"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w:t>
      </w:r>
      <w:r>
        <w:rPr>
          <w:rFonts w:ascii="Arial" w:eastAsia="Arial" w:hAnsi="Arial" w:cs="Arial"/>
          <w:color w:val="000000"/>
          <w:sz w:val="24"/>
          <w:szCs w:val="24"/>
        </w:rPr>
        <w:t>n accordance with Call Off Schedule 16 (Benchmarking)</w:t>
      </w:r>
    </w:p>
    <w:p w14:paraId="00000034"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35" w14:textId="77777777" w:rsidR="00D46419" w:rsidRDefault="005B48B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changes to the Mandatory Wage in which event paragraph 7 shall apply.</w:t>
      </w:r>
    </w:p>
    <w:p w14:paraId="00000036"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Changes</w:t>
      </w:r>
      <w:r>
        <w:rPr>
          <w:rFonts w:ascii="Arial" w:eastAsia="Arial" w:hAnsi="Arial" w:cs="Arial"/>
          <w:b/>
          <w:sz w:val="24"/>
          <w:szCs w:val="24"/>
        </w:rPr>
        <w:t xml:space="preserve"> </w:t>
      </w:r>
      <w:proofErr w:type="gramStart"/>
      <w:r>
        <w:rPr>
          <w:rFonts w:ascii="Arial" w:eastAsia="Arial" w:hAnsi="Arial" w:cs="Arial"/>
          <w:b/>
          <w:sz w:val="24"/>
          <w:szCs w:val="24"/>
        </w:rPr>
        <w:t>To</w:t>
      </w:r>
      <w:proofErr w:type="gramEnd"/>
      <w:r>
        <w:rPr>
          <w:rFonts w:ascii="Arial" w:eastAsia="Arial" w:hAnsi="Arial" w:cs="Arial"/>
          <w:b/>
          <w:sz w:val="24"/>
          <w:szCs w:val="24"/>
        </w:rPr>
        <w:t xml:space="preserve"> Minimum/Living Wage</w:t>
      </w:r>
    </w:p>
    <w:p w14:paraId="00000037"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Notwithstanding Core Terms Clause 24.5 (Changing the Contract), where the Supplier can provide evidence that a percentage increase to the Mandatory Wage in a given period has exceeded any percentage increase in CPI under </w:t>
      </w:r>
      <w:r>
        <w:rPr>
          <w:rFonts w:ascii="Arial" w:eastAsia="Arial" w:hAnsi="Arial" w:cs="Arial"/>
          <w:sz w:val="24"/>
          <w:szCs w:val="24"/>
          <w:highlight w:val="white"/>
        </w:rPr>
        <w:t xml:space="preserve">Paragraph 5.5 </w:t>
      </w:r>
      <w:r>
        <w:rPr>
          <w:rFonts w:ascii="Arial" w:eastAsia="Arial" w:hAnsi="Arial" w:cs="Arial"/>
          <w:sz w:val="24"/>
          <w:szCs w:val="24"/>
        </w:rPr>
        <w:t>for the same period i</w:t>
      </w:r>
      <w:r>
        <w:rPr>
          <w:rFonts w:ascii="Arial" w:eastAsia="Arial" w:hAnsi="Arial" w:cs="Arial"/>
          <w:sz w:val="24"/>
          <w:szCs w:val="24"/>
        </w:rPr>
        <w:t>n, the Supplier may request an increase in the Framework Prices by using the process under Paragraph 5.</w:t>
      </w:r>
    </w:p>
    <w:p w14:paraId="00000038"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For the avoidance of doubt CCS is not required to accept the request to adjust Framework Prices and must not accept any request that:</w:t>
      </w:r>
    </w:p>
    <w:p w14:paraId="00000039"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exceeds the differ</w:t>
      </w:r>
      <w:r>
        <w:rPr>
          <w:rFonts w:ascii="Arial" w:eastAsia="Arial" w:hAnsi="Arial" w:cs="Arial"/>
          <w:sz w:val="24"/>
          <w:szCs w:val="24"/>
        </w:rPr>
        <w:t>ence between the CPI increase and the current Mandatory Wage rate increase for each member of the Supplier Personnel affected by the Mandatory Wage increase;</w:t>
      </w:r>
    </w:p>
    <w:p w14:paraId="0000003A"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relate to Services that are not affected by the Mandatory Wage increase; and </w:t>
      </w:r>
    </w:p>
    <w:p w14:paraId="0000003B"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that relates to Supplier Personnel on an hourly rate already in excess of the Mandatory Wage (whether or not to maintain differentials between the affected Supplier Personnel and higher paid Supplier Personnel). </w:t>
      </w:r>
    </w:p>
    <w:p w14:paraId="0000003C" w14:textId="77777777" w:rsidR="00D46419" w:rsidRDefault="005B48B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sz w:val="24"/>
          <w:szCs w:val="24"/>
        </w:rPr>
        <w:t xml:space="preserve">Costs </w:t>
      </w:r>
      <w:proofErr w:type="gramStart"/>
      <w:r>
        <w:rPr>
          <w:rFonts w:ascii="Arial" w:eastAsia="Arial" w:hAnsi="Arial" w:cs="Arial"/>
          <w:b/>
          <w:sz w:val="24"/>
          <w:szCs w:val="24"/>
        </w:rPr>
        <w:t>And</w:t>
      </w:r>
      <w:proofErr w:type="gramEnd"/>
      <w:r>
        <w:rPr>
          <w:rFonts w:ascii="Arial" w:eastAsia="Arial" w:hAnsi="Arial" w:cs="Arial"/>
          <w:b/>
          <w:sz w:val="24"/>
          <w:szCs w:val="24"/>
        </w:rPr>
        <w:t xml:space="preserve"> Expenses</w:t>
      </w:r>
    </w:p>
    <w:p w14:paraId="0000003D"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bookmarkStart w:id="9" w:name="_heading=h.tyjcwt" w:colFirst="0" w:colLast="0"/>
      <w:bookmarkEnd w:id="9"/>
      <w:r>
        <w:rPr>
          <w:rFonts w:ascii="Arial" w:eastAsia="Arial" w:hAnsi="Arial" w:cs="Arial"/>
          <w:sz w:val="24"/>
          <w:szCs w:val="24"/>
        </w:rPr>
        <w:t xml:space="preserve">Except as expressly set </w:t>
      </w:r>
      <w:r>
        <w:rPr>
          <w:rFonts w:ascii="Arial" w:eastAsia="Arial" w:hAnsi="Arial" w:cs="Arial"/>
          <w:sz w:val="24"/>
          <w:szCs w:val="24"/>
        </w:rPr>
        <w:t>out as stated in Call-Off Schedule 5 (Pricing Details), the Framework Prices shall include all costs and expenses relating to the provision of Deliverables.  No further amounts shall be payable in respect of matters such as:</w:t>
      </w:r>
    </w:p>
    <w:p w14:paraId="0000003E"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lastRenderedPageBreak/>
        <w:t>incidental expenses such as tra</w:t>
      </w:r>
      <w:r>
        <w:rPr>
          <w:rFonts w:ascii="Arial" w:eastAsia="Arial" w:hAnsi="Arial" w:cs="Arial"/>
          <w:sz w:val="24"/>
          <w:szCs w:val="24"/>
        </w:rPr>
        <w:t>vel, subsistence and lodging, document or report reproduction, shipping, desktop or office equipment costs, network or data interchange costs or other telecommunications charges; or</w:t>
      </w:r>
    </w:p>
    <w:p w14:paraId="0000003F" w14:textId="77777777" w:rsidR="00D46419" w:rsidRDefault="005B48B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costs incurred prior to the commencement of any Call-Off Contract.</w:t>
      </w:r>
    </w:p>
    <w:p w14:paraId="00000040" w14:textId="77777777" w:rsidR="00D46419" w:rsidRDefault="00D46419">
      <w:pPr>
        <w:pBdr>
          <w:top w:val="nil"/>
          <w:left w:val="nil"/>
          <w:bottom w:val="nil"/>
          <w:right w:val="nil"/>
          <w:between w:val="nil"/>
        </w:pBdr>
        <w:tabs>
          <w:tab w:val="left" w:pos="709"/>
        </w:tabs>
        <w:spacing w:before="120" w:after="120" w:line="240" w:lineRule="auto"/>
        <w:ind w:left="1134"/>
        <w:rPr>
          <w:rFonts w:ascii="Arial" w:eastAsia="Arial" w:hAnsi="Arial" w:cs="Arial"/>
          <w:sz w:val="24"/>
          <w:szCs w:val="24"/>
        </w:rPr>
      </w:pPr>
    </w:p>
    <w:p w14:paraId="00000041" w14:textId="77777777" w:rsidR="00D46419" w:rsidRDefault="00D46419">
      <w:pPr>
        <w:rPr>
          <w:rFonts w:ascii="Arial" w:eastAsia="Arial" w:hAnsi="Arial" w:cs="Arial"/>
          <w:sz w:val="24"/>
          <w:szCs w:val="24"/>
        </w:rPr>
      </w:pPr>
    </w:p>
    <w:p w14:paraId="00000042" w14:textId="77777777" w:rsidR="00D46419" w:rsidRDefault="00D46419">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43" w14:textId="77777777" w:rsidR="00D46419" w:rsidRDefault="00D46419">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14:paraId="00000044" w14:textId="77777777" w:rsidR="00D46419" w:rsidRDefault="00D4641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45" w14:textId="77777777" w:rsidR="00D46419" w:rsidRDefault="005B48B0">
      <w:pPr>
        <w:rPr>
          <w:rFonts w:ascii="Arial" w:eastAsia="Arial" w:hAnsi="Arial" w:cs="Arial"/>
          <w:b/>
          <w:sz w:val="36"/>
          <w:szCs w:val="36"/>
        </w:rPr>
      </w:pPr>
      <w:bookmarkStart w:id="10" w:name="_heading=h.1t3h5sf" w:colFirst="0" w:colLast="0"/>
      <w:bookmarkEnd w:id="10"/>
      <w:r>
        <w:br w:type="page"/>
      </w:r>
      <w:r>
        <w:rPr>
          <w:rFonts w:ascii="Arial" w:eastAsia="Arial" w:hAnsi="Arial" w:cs="Arial"/>
          <w:b/>
          <w:sz w:val="36"/>
          <w:szCs w:val="36"/>
        </w:rPr>
        <w:lastRenderedPageBreak/>
        <w:t>Annex 1: Rates and Prices</w:t>
      </w:r>
    </w:p>
    <w:p w14:paraId="00000047" w14:textId="338F3B12" w:rsidR="00D46419" w:rsidRDefault="005C67F6">
      <w:pPr>
        <w:rPr>
          <w:rFonts w:ascii="Arial" w:eastAsia="Arial" w:hAnsi="Arial" w:cs="Arial"/>
          <w:b/>
          <w:sz w:val="36"/>
          <w:szCs w:val="36"/>
        </w:rPr>
      </w:pPr>
      <w:r>
        <w:rPr>
          <w:rFonts w:ascii="Arial" w:eastAsia="Arial" w:hAnsi="Arial" w:cs="Arial"/>
          <w:b/>
        </w:rPr>
        <w:t>Redacted under FOIA section 43, Commercial I</w:t>
      </w:r>
      <w:r w:rsidRPr="00F21FAA">
        <w:rPr>
          <w:rFonts w:ascii="Arial" w:eastAsia="Arial" w:hAnsi="Arial" w:cs="Arial"/>
          <w:b/>
        </w:rPr>
        <w:t>nterests</w:t>
      </w:r>
      <w:bookmarkStart w:id="11" w:name="_GoBack"/>
      <w:bookmarkEnd w:id="11"/>
    </w:p>
    <w:sectPr w:rsidR="00D46419">
      <w:headerReference w:type="default" r:id="rId8"/>
      <w:footerReference w:type="default" r:id="rId9"/>
      <w:headerReference w:type="first" r:id="rId10"/>
      <w:footerReference w:type="first" r:id="rId11"/>
      <w:pgSz w:w="16838" w:h="11906" w:orient="landscape"/>
      <w:pgMar w:top="1440" w:right="1888"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0C38" w14:textId="77777777" w:rsidR="005B48B0" w:rsidRDefault="005B48B0">
      <w:pPr>
        <w:spacing w:after="0" w:line="240" w:lineRule="auto"/>
      </w:pPr>
      <w:r>
        <w:separator/>
      </w:r>
    </w:p>
  </w:endnote>
  <w:endnote w:type="continuationSeparator" w:id="0">
    <w:p w14:paraId="63B51850" w14:textId="77777777" w:rsidR="005B48B0" w:rsidRDefault="005B4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D46419" w:rsidRDefault="005B48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r>
    <w:r>
      <w:rPr>
        <w:rFonts w:ascii="Arial" w:eastAsia="Arial" w:hAnsi="Arial" w:cs="Arial"/>
        <w:sz w:val="20"/>
        <w:szCs w:val="20"/>
      </w:rPr>
      <w:t xml:space="preserve">                                           </w:t>
    </w:r>
  </w:p>
  <w:p w14:paraId="00000050" w14:textId="7C3335A9" w:rsidR="00D46419" w:rsidRDefault="005B48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C67F6">
      <w:rPr>
        <w:rFonts w:ascii="Arial" w:eastAsia="Arial" w:hAnsi="Arial" w:cs="Arial"/>
        <w:color w:val="000000"/>
        <w:sz w:val="20"/>
        <w:szCs w:val="20"/>
      </w:rPr>
      <w:fldChar w:fldCharType="separate"/>
    </w:r>
    <w:r w:rsidR="005C67F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1" w14:textId="77777777" w:rsidR="00D46419" w:rsidRDefault="005B48B0">
    <w:pPr>
      <w:tabs>
        <w:tab w:val="left" w:pos="720"/>
        <w:tab w:val="left" w:pos="1440"/>
        <w:tab w:val="left" w:pos="2160"/>
        <w:tab w:val="left" w:pos="2880"/>
        <w:tab w:val="left" w:pos="3600"/>
        <w:tab w:val="left" w:pos="4320"/>
        <w:tab w:val="left" w:pos="4905"/>
      </w:tabs>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D46419" w:rsidRDefault="005B48B0">
    <w:pPr>
      <w:tabs>
        <w:tab w:val="center" w:pos="4513"/>
        <w:tab w:val="right" w:pos="9026"/>
      </w:tabs>
      <w:spacing w:after="0"/>
    </w:pPr>
    <w:r>
      <w:t>Framework Ref: RM</w:t>
    </w:r>
    <w:r>
      <w:tab/>
      <w:t xml:space="preserve">                                           </w:t>
    </w:r>
  </w:p>
  <w:p w14:paraId="0000004D" w14:textId="77777777" w:rsidR="00D46419" w:rsidRDefault="005B48B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E" w14:textId="77777777" w:rsidR="00D46419" w:rsidRDefault="005B48B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A938F" w14:textId="77777777" w:rsidR="005B48B0" w:rsidRDefault="005B48B0">
      <w:pPr>
        <w:spacing w:after="0" w:line="240" w:lineRule="auto"/>
      </w:pPr>
      <w:r>
        <w:separator/>
      </w:r>
    </w:p>
  </w:footnote>
  <w:footnote w:type="continuationSeparator" w:id="0">
    <w:p w14:paraId="58F91301" w14:textId="77777777" w:rsidR="005B48B0" w:rsidRDefault="005B4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D46419" w:rsidRDefault="005B48B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B" w14:textId="77777777" w:rsidR="00D46419" w:rsidRDefault="005B48B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D46419" w:rsidRDefault="005B48B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9" w14:textId="77777777" w:rsidR="00D46419" w:rsidRDefault="005B48B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150D0"/>
    <w:multiLevelType w:val="multilevel"/>
    <w:tmpl w:val="E8BE3D0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E8B2BB0"/>
    <w:multiLevelType w:val="multilevel"/>
    <w:tmpl w:val="79620730"/>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419"/>
    <w:rsid w:val="005B48B0"/>
    <w:rsid w:val="005C67F6"/>
    <w:rsid w:val="00D464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E99C4"/>
  <w15:docId w15:val="{F2D32FA8-2347-49F0-AD97-18DF9FEF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customStyle="1" w:styleId="Table-Text">
    <w:name w:val="Table - Text"/>
    <w:basedOn w:val="Normal"/>
    <w:qFormat/>
    <w:rsid w:val="00224412"/>
    <w:pPr>
      <w:adjustRightInd w:val="0"/>
      <w:spacing w:before="120" w:after="120" w:line="240" w:lineRule="auto"/>
    </w:pPr>
    <w:rPr>
      <w:rFonts w:ascii="Times New Roman" w:eastAsia="STZhongsong" w:hAnsi="Times New Roman" w:cs="Times New Roman"/>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dt5sH49ENkiaZXa6X6jgXmd3ow==">AMUW2mXbHjyISMslaY8E0kz0VceIRlFtS5Ob+sQECUYKQ9S+NvsWw3Nwz+iY2egNDW5lLAtCc4BppOWtubFn2sPcaygLL2RzR5Xs1OgCgYkDc9pHBJmV3CWdRAJ2iSFKQsgi1UgaKdhGryGDcEfdEiZd3ixBp9tFlS6pGmEpHn0Qwo+/Z2vh5nJOl7VtSRxu2w2SpLzwPLaBD4Tf+daImLBZ813c46zAt79hugJLoKIVO5bx1f0qZCyhcLt+ahyjCcDHl28swW3yR6RuEV0EPASzWuwX71M59dNR0BWbSYjSZ+E5eqHaTO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1088</Words>
  <Characters>6206</Characters>
  <Application>Microsoft Office Word</Application>
  <DocSecurity>0</DocSecurity>
  <Lines>51</Lines>
  <Paragraphs>14</Paragraphs>
  <ScaleCrop>false</ScaleCrop>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Lorna Westlake</cp:lastModifiedBy>
  <cp:revision>2</cp:revision>
  <dcterms:created xsi:type="dcterms:W3CDTF">2021-12-13T14:11:00Z</dcterms:created>
  <dcterms:modified xsi:type="dcterms:W3CDTF">2022-06-23T08:23:00Z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